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8FB" w14:textId="0A72D765" w:rsidR="007B756E" w:rsidRDefault="00093D69">
      <w:pPr>
        <w:pStyle w:val="Heading1"/>
        <w:spacing w:before="41"/>
        <w:ind w:left="181" w:right="142"/>
        <w:jc w:val="center"/>
        <w:rPr>
          <w:color w:val="008080"/>
        </w:rPr>
      </w:pPr>
      <w:r>
        <w:rPr>
          <w:color w:val="008080"/>
        </w:rPr>
        <w:t>ALERTAS DOS CIENTISTAS MUNDIAIS PARA AÇÕES LOCAIS E GLOBAIS - RESUMO</w:t>
      </w:r>
    </w:p>
    <w:p w14:paraId="72BDF9DB" w14:textId="1630AA80" w:rsidR="00BE7C3E" w:rsidRPr="00BE7C3E" w:rsidRDefault="00BE7C3E" w:rsidP="00BE7C3E">
      <w:pPr>
        <w:pStyle w:val="Heading1"/>
        <w:spacing w:before="41"/>
        <w:ind w:left="181" w:right="142"/>
        <w:jc w:val="center"/>
      </w:pPr>
      <w:r w:rsidRPr="00BE7C3E">
        <w:rPr>
          <w:color w:val="008080"/>
        </w:rPr>
        <w:t>WORLD SCIENTISTS’ WARNINGS INTO ACTION, LOCAL TO GLOBAL – SUMMARY</w:t>
      </w:r>
    </w:p>
    <w:p w14:paraId="4AC7AA09" w14:textId="77777777" w:rsidR="007B756E" w:rsidRDefault="00093D69">
      <w:pPr>
        <w:spacing w:before="182"/>
        <w:ind w:left="184" w:right="14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Barnard, P., Moomaw, W.R., Fioramonti, L., Laurance, W.F., Mahmoud, M.I., O'Sullivan, J., Rapley, C.G., Rees, W.E., Rhodes, C.J., Ripple, W.J., Semiletov, I.P., Talberth, J., Tucker, C., Wysham, D., Ziervogel, G.*</w:t>
      </w:r>
    </w:p>
    <w:p w14:paraId="68D307FD" w14:textId="77777777" w:rsidR="007B756E" w:rsidRDefault="00093D69" w:rsidP="00D4349E">
      <w:pPr>
        <w:pStyle w:val="Heading1"/>
        <w:spacing w:before="0"/>
        <w:ind w:left="181" w:right="142"/>
        <w:jc w:val="center"/>
      </w:pPr>
      <w:r>
        <w:rPr>
          <w:color w:val="008080"/>
        </w:rPr>
        <w:t xml:space="preserve">O artigo completo em que se baseia este resumo está no prelo da revista </w:t>
      </w:r>
      <w:r w:rsidRPr="00180400">
        <w:rPr>
          <w:i/>
          <w:iCs/>
          <w:color w:val="008080"/>
        </w:rPr>
        <w:t xml:space="preserve">SAGE, </w:t>
      </w:r>
      <w:r w:rsidRPr="00180400">
        <w:rPr>
          <w:i/>
          <w:iCs/>
          <w:color w:val="008080"/>
          <w:u w:val="single" w:color="008080"/>
        </w:rPr>
        <w:t>Science Progress</w:t>
      </w:r>
      <w:r>
        <w:rPr>
          <w:color w:val="008080"/>
        </w:rPr>
        <w:t>.</w:t>
      </w:r>
    </w:p>
    <w:p w14:paraId="02E66442" w14:textId="491ED55C" w:rsidR="007B756E" w:rsidRDefault="00093D69">
      <w:pPr>
        <w:pStyle w:val="BodyText"/>
        <w:ind w:left="0" w:firstLine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BD3679" wp14:editId="32BE49B8">
                <wp:simplePos x="0" y="0"/>
                <wp:positionH relativeFrom="page">
                  <wp:posOffset>475615</wp:posOffset>
                </wp:positionH>
                <wp:positionV relativeFrom="paragraph">
                  <wp:posOffset>240030</wp:posOffset>
                </wp:positionV>
                <wp:extent cx="660971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49 749"/>
                            <a:gd name="T1" fmla="*/ T0 w 10409"/>
                            <a:gd name="T2" fmla="+- 0 11158 749"/>
                            <a:gd name="T3" fmla="*/ T2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896F" id="docshape1" o:spid="_x0000_s1026" style="position:absolute;margin-left:37.45pt;margin-top:18.9pt;width:520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" path="m,l10409,e" filled="f" strokeweight=".35369mm">
                <v:path arrowok="t" o:connecttype="custom" o:connectlocs="0,0;6609715,0" o:connectangles="0,0"/>
                <w10:wrap type="topAndBottom" anchorx="page"/>
              </v:shape>
            </w:pict>
          </mc:Fallback>
        </mc:AlternateContent>
      </w:r>
    </w:p>
    <w:p w14:paraId="5BA0E84E" w14:textId="77777777" w:rsidR="007B756E" w:rsidRDefault="00093D6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62" w:line="259" w:lineRule="auto"/>
        <w:ind w:right="416"/>
      </w:pPr>
      <w:r>
        <w:t>Terminou o tempo dos compromissos vagos para o futuro distante de 2050. Num horizonte temporal a uma velocidade sobre-humana, são necessárias mudanças amplas, rápidas e transformadoras nas nossas economias, sociedades, culturas e políticas.</w:t>
      </w:r>
    </w:p>
    <w:p w14:paraId="46FCD83F" w14:textId="4C5C70B1" w:rsidR="007B756E" w:rsidRDefault="00093D6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59" w:lineRule="auto"/>
        <w:ind w:left="479" w:right="117" w:hanging="360"/>
      </w:pPr>
      <w:r>
        <w:t>A inércia deve ser superada para garantir que ações essenciais e generalizadas estejam em curso no período de cinco anos entre 2022 e 2026. É agora necessária uma colaboração mundial sem precedentes. As nossas ações ou inações a curto prazo irão determinar o nosso futuro</w:t>
      </w:r>
      <w:r w:rsidR="00B41FDC">
        <w:t>.</w:t>
      </w:r>
      <w:r>
        <w:t xml:space="preserve"> A ciência é clara e irrefutável: a humanidade já </w:t>
      </w:r>
      <w:r w:rsidR="00B41FDC">
        <w:t>atingiu um</w:t>
      </w:r>
      <w:r>
        <w:t xml:space="preserve"> excesso ecológico.</w:t>
      </w:r>
    </w:p>
    <w:p w14:paraId="6D00C68B" w14:textId="77777777" w:rsidR="007B756E" w:rsidRDefault="00093D6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9" w:lineRule="auto"/>
        <w:ind w:left="478" w:right="101" w:hanging="360"/>
      </w:pPr>
      <w:r>
        <w:t>Muitos climatologistas receiam que os objetivos de Paris de 1,5 ou 2,0 ºC sejam insuficientes e nos empurrem irreversivelmente para o caminho de uma estufa terrestre. O carbono e o calor já retidos nos oceanos e na atmosfera garantem que excederemos os 1,5 ºC. Demasiados líderes estão dispostos a arriscar uma catástrofe quando o problema for de outros.</w:t>
      </w:r>
    </w:p>
    <w:p w14:paraId="51CDC4A5" w14:textId="77777777" w:rsidR="007B756E" w:rsidRDefault="00093D6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79" w:lineRule="exact"/>
        <w:ind w:left="478"/>
      </w:pPr>
      <w:r>
        <w:t>Os protestos e outras exigências de mudança ascendentes ajudarão a quebrar barreiras e a incutir ações urgentes.</w:t>
      </w:r>
    </w:p>
    <w:p w14:paraId="5DFDDB69" w14:textId="77777777" w:rsidR="007B756E" w:rsidRDefault="00093D69">
      <w:pPr>
        <w:pStyle w:val="Heading1"/>
        <w:spacing w:before="179"/>
      </w:pPr>
      <w:r>
        <w:t>ENERGIA</w:t>
      </w:r>
    </w:p>
    <w:p w14:paraId="6ED73371" w14:textId="6D627910" w:rsidR="007B756E" w:rsidRDefault="00093D69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83" w:line="259" w:lineRule="auto"/>
        <w:ind w:right="241" w:hanging="360"/>
      </w:pPr>
      <w:r>
        <w:t xml:space="preserve">Agora, e muito antes de 2030, os líderes devem multiplicar os compromissos de descarbonização e prosseguir com a fulcral e rápida transição energética para um futuro menos acentuado em termos energéticos, essencial para a sobrevivência da civilização e de um planeta estável e habitável. Os líderes e decisores políticos </w:t>
      </w:r>
      <w:r w:rsidR="00B41FDC">
        <w:t>têm</w:t>
      </w:r>
      <w:r>
        <w:t xml:space="preserve"> de:</w:t>
      </w:r>
    </w:p>
    <w:p w14:paraId="50DD7042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line="252" w:lineRule="auto"/>
        <w:ind w:right="361" w:hanging="360"/>
      </w:pPr>
      <w:r>
        <w:t>criar imediatamente um quadro de referência de transformação da energia muito mais assertivo e muito menos trivial do que as ações atualmente em discussão;</w:t>
      </w:r>
    </w:p>
    <w:p w14:paraId="5A2877B4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5" w:line="252" w:lineRule="auto"/>
        <w:ind w:right="266"/>
      </w:pPr>
      <w:r>
        <w:t>traçar um curso para uma rápida diminuição da procura mundial de energia, tomar medidas para levar os cidadãos a adaptarem-se a um futuro menos intensivo em termos energéticos e procurar intensamente um fornecimento de energia sem combustíveis fósseis;</w:t>
      </w:r>
    </w:p>
    <w:p w14:paraId="5D852B86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10" w:line="252" w:lineRule="auto"/>
        <w:ind w:right="746"/>
      </w:pPr>
      <w:r>
        <w:t>restabelecer as economias e o comércio regionais para sustentar as populações tanto quanto possível com base nos recursos regionais, a fim de reduzir a dependência de bens de comércio de carbono intensivo;</w:t>
      </w:r>
    </w:p>
    <w:p w14:paraId="58E3AC8A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8"/>
        </w:tabs>
        <w:spacing w:before="8" w:line="252" w:lineRule="auto"/>
        <w:ind w:left="1557" w:right="583"/>
      </w:pPr>
      <w:r>
        <w:t>relocalizar, tanto quanto possível, as pequenas indústrias, a produção e o processamento de alimentos para incrementar a autossuficiência regional, aumentar a eficiência das modernizações e acelerar a produção de energia em pequena escala;</w:t>
      </w:r>
    </w:p>
    <w:p w14:paraId="315F0373" w14:textId="7DB0E9D2" w:rsidR="007B756E" w:rsidRDefault="00093D69">
      <w:pPr>
        <w:pStyle w:val="ListParagraph"/>
        <w:numPr>
          <w:ilvl w:val="2"/>
          <w:numId w:val="1"/>
        </w:numPr>
        <w:tabs>
          <w:tab w:val="left" w:pos="1558"/>
        </w:tabs>
        <w:spacing w:before="9" w:line="252" w:lineRule="auto"/>
        <w:ind w:left="1557" w:right="935" w:hanging="360"/>
      </w:pPr>
      <w:r>
        <w:t xml:space="preserve">impor preços de carbono e concentrar </w:t>
      </w:r>
      <w:r w:rsidR="00F37E67">
        <w:t>taxas</w:t>
      </w:r>
      <w:r>
        <w:t xml:space="preserve"> elevad</w:t>
      </w:r>
      <w:r w:rsidR="00F37E67">
        <w:t>a</w:t>
      </w:r>
      <w:r>
        <w:t>s em viagens e comércio de “luxo”, especialmente voos, veículos ineficazes e bens de luxo importados.</w:t>
      </w:r>
    </w:p>
    <w:p w14:paraId="25141A09" w14:textId="77777777" w:rsidR="007B756E" w:rsidRDefault="00093D69">
      <w:pPr>
        <w:pStyle w:val="Heading1"/>
        <w:spacing w:before="169"/>
        <w:ind w:left="117"/>
      </w:pPr>
      <w:r>
        <w:t>POLUENTES ATMOSFÉRICOS</w:t>
      </w:r>
    </w:p>
    <w:p w14:paraId="0F379B25" w14:textId="74A2E2C5" w:rsidR="007B756E" w:rsidRDefault="00093D69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80" w:line="259" w:lineRule="auto"/>
        <w:ind w:left="837" w:right="335" w:hanging="360"/>
      </w:pPr>
      <w:r>
        <w:t>A atual acumulação de carbono atmosférico, a sua acidificação dos oceanos e os perigosos aumentos de metano, óxido nitroso, hidrofluorcarbonetos e outros poluentes na nossa atmosfera excedem, de longe, os piores cenários projetados pela comunidade científica há décadas.</w:t>
      </w:r>
    </w:p>
    <w:p w14:paraId="6347A60B" w14:textId="08F92E9C" w:rsidR="007B756E" w:rsidRDefault="00093D69">
      <w:pPr>
        <w:pStyle w:val="ListParagraph"/>
        <w:numPr>
          <w:ilvl w:val="1"/>
          <w:numId w:val="1"/>
        </w:numPr>
        <w:tabs>
          <w:tab w:val="left" w:pos="838"/>
        </w:tabs>
        <w:spacing w:before="1" w:line="259" w:lineRule="auto"/>
        <w:ind w:left="837" w:right="796" w:hanging="360"/>
        <w:jc w:val="both"/>
      </w:pPr>
      <w:r>
        <w:t>Depois de já termos atravessado o ponto de rutura da perda de gelo no oceano Ártico, estamos a aproximar-nos de outro causado pelo aquecimento acentuado do Ártico, com impactos potencialmente catastróficos devido à rápida mobilização de reservatórios substanciais de metano retidos no gelo permanente para a atmosfera num horizonte temporal de décadas.</w:t>
      </w:r>
    </w:p>
    <w:p w14:paraId="4EB9D866" w14:textId="77777777" w:rsidR="007B756E" w:rsidRDefault="00093D69">
      <w:pPr>
        <w:pStyle w:val="ListParagraph"/>
        <w:numPr>
          <w:ilvl w:val="1"/>
          <w:numId w:val="1"/>
        </w:numPr>
        <w:tabs>
          <w:tab w:val="left" w:pos="837"/>
        </w:tabs>
        <w:spacing w:line="256" w:lineRule="auto"/>
        <w:ind w:left="836" w:right="875"/>
        <w:jc w:val="both"/>
      </w:pPr>
      <w:r>
        <w:t>Os líderes de todos os países podem reduzir ou atenuar intensamente as emissões de metano, sempre que possível, nas suas fontes (agricultura, indústria, produção de petróleo e gás) ao:</w:t>
      </w:r>
    </w:p>
    <w:p w14:paraId="4AAFAA2E" w14:textId="3AF30BE3" w:rsidR="007B756E" w:rsidRDefault="00093D69">
      <w:pPr>
        <w:pStyle w:val="ListParagraph"/>
        <w:numPr>
          <w:ilvl w:val="2"/>
          <w:numId w:val="1"/>
        </w:numPr>
        <w:tabs>
          <w:tab w:val="left" w:pos="1558"/>
        </w:tabs>
        <w:spacing w:before="3" w:line="252" w:lineRule="auto"/>
        <w:ind w:left="1556" w:right="446" w:hanging="360"/>
        <w:jc w:val="both"/>
      </w:pPr>
      <w:r>
        <w:t xml:space="preserve">alterarem os subsídios destinados às grandes empresas produtoras de metano de carne e lacticínios e às empresas de “fast food” para </w:t>
      </w:r>
      <w:r w:rsidR="00F37E67">
        <w:t>taxas</w:t>
      </w:r>
      <w:r>
        <w:t xml:space="preserve"> sobre os grandes produtores de metano;</w:t>
      </w:r>
    </w:p>
    <w:p w14:paraId="50207A7B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7"/>
        </w:tabs>
        <w:spacing w:before="10" w:line="254" w:lineRule="auto"/>
        <w:ind w:left="1556" w:right="187" w:hanging="360"/>
        <w:jc w:val="both"/>
      </w:pPr>
      <w:r>
        <w:t>desencadearem e investirem no desenvolvimento de tecnologias e práticas naturais para reduzir o metano atmosférico de forma segura e eficaz, registando e monitorizando a redução dos níveis do mesmo, e enquadrando e implementando uma governação mundial que exija a utilização de tais métodos.</w:t>
      </w:r>
    </w:p>
    <w:p w14:paraId="09079D60" w14:textId="77777777" w:rsidR="007B756E" w:rsidRDefault="00093D69">
      <w:pPr>
        <w:pStyle w:val="Heading1"/>
        <w:ind w:left="116"/>
      </w:pPr>
      <w:r>
        <w:lastRenderedPageBreak/>
        <w:t>NATUREZA</w:t>
      </w:r>
    </w:p>
    <w:p w14:paraId="4DA79FFC" w14:textId="71B67DEA" w:rsidR="00570FE4" w:rsidRDefault="00093D69" w:rsidP="00570FE4">
      <w:pPr>
        <w:pStyle w:val="ListParagraph"/>
        <w:numPr>
          <w:ilvl w:val="1"/>
          <w:numId w:val="1"/>
        </w:numPr>
        <w:tabs>
          <w:tab w:val="left" w:pos="836"/>
          <w:tab w:val="left" w:pos="838"/>
        </w:tabs>
        <w:spacing w:before="181" w:line="256" w:lineRule="auto"/>
        <w:ind w:left="836" w:right="203" w:hanging="360"/>
      </w:pPr>
      <w:r>
        <w:t xml:space="preserve">A natureza está em queda livre. Os processos complexos e interdependentes dos ecossistemas, como a polinização, o controlo natural de cheias e a </w:t>
      </w:r>
      <w:r w:rsidR="008C6B88">
        <w:t>depuração</w:t>
      </w:r>
      <w:r>
        <w:t xml:space="preserve"> da água, têm sido drasticamente esgotados pela humanidade. Algumas das mais importantes florestas tropicais e temperadas são agora fontes de carbono, em vez de sumidouros. Os líderes nacionais e regionais precisam de:</w:t>
      </w:r>
    </w:p>
    <w:p w14:paraId="15D1D7ED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1"/>
        </w:tabs>
        <w:spacing w:before="61" w:line="256" w:lineRule="auto"/>
        <w:ind w:left="1560" w:right="123"/>
      </w:pPr>
      <w:r>
        <w:t>até 2030, agir a nível local, regional, nacional e mundial para proteger os ecossistemas terrestres e aquáticos que abrangem 30% da superfície da Terra; a conservação, recuperação e renaturalização generalizadas são necessárias para ajudar os habitats naturais a recuperarem a resiliência suficiente para apoiarem a sobrevivência da humanidade;</w:t>
      </w:r>
    </w:p>
    <w:p w14:paraId="2E55581F" w14:textId="615D957C" w:rsidR="007B756E" w:rsidRDefault="00093D69">
      <w:pPr>
        <w:pStyle w:val="ListParagraph"/>
        <w:numPr>
          <w:ilvl w:val="2"/>
          <w:numId w:val="1"/>
        </w:numPr>
        <w:tabs>
          <w:tab w:val="left" w:pos="1561"/>
        </w:tabs>
        <w:spacing w:line="256" w:lineRule="auto"/>
        <w:ind w:left="1560" w:right="332"/>
      </w:pPr>
      <w:r>
        <w:t xml:space="preserve">interromper imediatamente a destruição e degradação de ecossistemas essenciais que acumulam carbono, como florestas, pântanos e prados; proteger árvores e florestas mais antigas que retêm muito mais carbono do que as árvores </w:t>
      </w:r>
      <w:r w:rsidR="008C6B88">
        <w:t>recém-plantadas</w:t>
      </w:r>
      <w:r>
        <w:t xml:space="preserve"> e permitir que as florestas secundárias continuem a crescer para proteger os ecossistemas existentes, potencializar o armazenamento de carbono e evitar as emissões de produtos florestais colhidos;</w:t>
      </w:r>
    </w:p>
    <w:p w14:paraId="1B225982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1"/>
        </w:tabs>
        <w:spacing w:before="2" w:line="252" w:lineRule="auto"/>
        <w:ind w:left="1559" w:right="252" w:hanging="360"/>
      </w:pPr>
      <w:r>
        <w:t>interromper, até 2027-2030, a transformação do habitat regional e local, implementando políticas e estatutos que promovam a densificação, a redução da expansão, a requalificação e a reordenação.</w:t>
      </w:r>
    </w:p>
    <w:p w14:paraId="0FD08534" w14:textId="77777777" w:rsidR="007B756E" w:rsidRDefault="00093D69">
      <w:pPr>
        <w:pStyle w:val="Heading1"/>
        <w:ind w:left="119"/>
      </w:pPr>
      <w:r>
        <w:t>SISTEMAS ALIMENTARES</w:t>
      </w:r>
    </w:p>
    <w:p w14:paraId="4D92DF7A" w14:textId="77777777" w:rsidR="007B756E" w:rsidRDefault="00093D6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3" w:line="256" w:lineRule="auto"/>
        <w:ind w:left="840" w:right="162"/>
      </w:pPr>
      <w:r>
        <w:t>Os atuais padrões de produção e consumo agrícolas foram muito além das fronteiras do planeta e não podem sustentar 8 mil milhões de pessoas. O sistema alimentar gera mais de 25% das emissões de GEE (gases com efeito de estufa), cerca de 70% da utilização de água doce, a maior parte da desflorestação e do escoamento de nutrientes, levando a água doce e a zonas mortas costeiras.</w:t>
      </w:r>
    </w:p>
    <w:p w14:paraId="16941F05" w14:textId="77777777" w:rsidR="007B756E" w:rsidRDefault="00093D69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 w:line="259" w:lineRule="auto"/>
        <w:ind w:left="839" w:right="486" w:hanging="360"/>
      </w:pPr>
      <w:r>
        <w:t>Para evitar a fome generalizada neste século, os líderes devem tomar medidas céleres a nível local, regional, nacional e mundial em relação a três componentes principais do sistema alimentar: produção, terra e práticas agrícolas:</w:t>
      </w:r>
    </w:p>
    <w:p w14:paraId="4B76B22C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0"/>
        </w:tabs>
        <w:spacing w:line="252" w:lineRule="auto"/>
        <w:ind w:left="1559" w:right="268"/>
      </w:pPr>
      <w:r>
        <w:t>a produção deve ser rapidamente alterada de alimentos de alto impacto (tais como produtos animais) para alimentos de baixo impacto (tais como frutas, vegetais, legumes e grãos), aumentando a eficiência da utilização da terra e da água.</w:t>
      </w:r>
    </w:p>
    <w:p w14:paraId="239E1408" w14:textId="0149952C" w:rsidR="007B756E" w:rsidRDefault="00093D69">
      <w:pPr>
        <w:pStyle w:val="ListParagraph"/>
        <w:numPr>
          <w:ilvl w:val="2"/>
          <w:numId w:val="1"/>
        </w:numPr>
        <w:tabs>
          <w:tab w:val="left" w:pos="1560"/>
        </w:tabs>
        <w:spacing w:before="8" w:line="254" w:lineRule="auto"/>
        <w:ind w:left="1559" w:right="576" w:hanging="360"/>
        <w:jc w:val="both"/>
      </w:pPr>
      <w:r>
        <w:t xml:space="preserve">as práticas agrícolas devem </w:t>
      </w:r>
      <w:r w:rsidR="00165D9A">
        <w:t>transitar</w:t>
      </w:r>
      <w:r>
        <w:t xml:space="preserve"> urgentemente para métodos mais regenerativos e menos degradantes, a fim de reduzir os impactos ambientais da agricultura, aumentar a eficiência hídrica, reduzir as necessidades da terra, proteger e recuperar o solo e outros habitats naturais.</w:t>
      </w:r>
    </w:p>
    <w:p w14:paraId="02734CC7" w14:textId="77777777" w:rsidR="007B756E" w:rsidRDefault="00093D69">
      <w:pPr>
        <w:pStyle w:val="Heading1"/>
      </w:pPr>
      <w:r>
        <w:t>ESTABILIZAÇÃO DA POPULAÇÃO</w:t>
      </w:r>
    </w:p>
    <w:p w14:paraId="1C5527EA" w14:textId="77777777" w:rsidR="007B756E" w:rsidRDefault="00093D69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81" w:line="259" w:lineRule="auto"/>
        <w:ind w:right="303" w:hanging="360"/>
      </w:pPr>
      <w:r>
        <w:t>A Terra tem população em excesso e não a pode sustentar. Todos os esforços para aliviar a instabilidade climática, a destruição ecológica, a fome, a instabilidade social e política, a insegurança e o sofrimento sem precedentes são enfraquecidos por um aumento da população de 80 milhões por ano.</w:t>
      </w:r>
    </w:p>
    <w:p w14:paraId="09E909A4" w14:textId="704A19F4" w:rsidR="007B756E" w:rsidRDefault="00093D69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59" w:lineRule="auto"/>
        <w:ind w:right="468" w:hanging="360"/>
      </w:pPr>
      <w:r>
        <w:t xml:space="preserve">Os líderes devem reconhecer a população e o consumo como as duas </w:t>
      </w:r>
      <w:r w:rsidR="00165D9A">
        <w:t>principais</w:t>
      </w:r>
      <w:r>
        <w:t xml:space="preserve"> “ameaças multiplicadoras” a uma civilização sustentável e tomar medidas ousadas, equitativas e justas até 2026, a todos os níveis, para infletir a curva:</w:t>
      </w:r>
    </w:p>
    <w:p w14:paraId="4C238396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</w:pPr>
      <w:r>
        <w:t>incorporar ações adequadas, éticas e expansíveis nas agendas económicas, sociais e políticas;</w:t>
      </w:r>
    </w:p>
    <w:p w14:paraId="097BF560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14" w:line="249" w:lineRule="auto"/>
        <w:ind w:right="444"/>
      </w:pPr>
      <w:r>
        <w:t>contemplar maiores investimentos no bem-estar, através de estratégias éticas e de capacitação em matéria de saúde, educação e economia que ajudem mulheres e raparigas, bem como homens e rapazes;</w:t>
      </w:r>
    </w:p>
    <w:p w14:paraId="73811C38" w14:textId="75CB4210" w:rsidR="007B756E" w:rsidRDefault="007A58F7">
      <w:pPr>
        <w:pStyle w:val="ListParagraph"/>
        <w:numPr>
          <w:ilvl w:val="2"/>
          <w:numId w:val="1"/>
        </w:numPr>
        <w:tabs>
          <w:tab w:val="left" w:pos="1559"/>
        </w:tabs>
        <w:spacing w:before="13" w:line="252" w:lineRule="auto"/>
        <w:ind w:right="213" w:hanging="360"/>
      </w:pPr>
      <w:r>
        <w:t>incentivar</w:t>
      </w:r>
      <w:r w:rsidR="00093D69">
        <w:t xml:space="preserve"> as famílias ricas a terem menos filhos, como a forma mais eficaz de reduzir individualmente as suas futuras emissões de GEE, e as famílias mais pobres a avançarem em termos económicos e educativos;</w:t>
      </w:r>
    </w:p>
    <w:p w14:paraId="3B2480F6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9"/>
      </w:pPr>
      <w:r>
        <w:t>nos países desenvolvidos, atribuir pelo menos 4% dos orçamentos de ajuda internacional ao planeamento familiar.</w:t>
      </w:r>
    </w:p>
    <w:p w14:paraId="02743783" w14:textId="77777777" w:rsidR="007B756E" w:rsidRDefault="00093D69">
      <w:pPr>
        <w:pStyle w:val="Heading1"/>
        <w:spacing w:before="174"/>
      </w:pPr>
      <w:r>
        <w:t>REFORMAS ECONÓMICAS</w:t>
      </w:r>
    </w:p>
    <w:p w14:paraId="3F823D69" w14:textId="77777777" w:rsidR="007B756E" w:rsidRDefault="00093D69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80" w:line="259" w:lineRule="auto"/>
        <w:ind w:left="837" w:right="291" w:hanging="360"/>
      </w:pPr>
      <w:r>
        <w:t>Para enfrentar os efeitos catastróficos das alterações climáticas, extinção, pobreza e outras crises convergentes, o nosso modelo económico deve ser definido para funcionar dentro dos limites do planeta. Os líderes precisam de:</w:t>
      </w:r>
    </w:p>
    <w:p w14:paraId="027AAE0E" w14:textId="2E0763DD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1" w:line="252" w:lineRule="auto"/>
        <w:ind w:right="209"/>
      </w:pPr>
      <w:r>
        <w:t xml:space="preserve">corrigir falhas do mercado, implementando ou aumentando </w:t>
      </w:r>
      <w:r w:rsidR="00165D9A">
        <w:t>taxas</w:t>
      </w:r>
      <w:r>
        <w:t xml:space="preserve"> de carbono e ambientais sobre a </w:t>
      </w:r>
      <w:r>
        <w:lastRenderedPageBreak/>
        <w:t>produção e serviços poluentes e eliminar todos os subsídios perversos às indústrias que prejudicam os sistemas do planeta;</w:t>
      </w:r>
    </w:p>
    <w:p w14:paraId="37740F73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59"/>
        </w:tabs>
        <w:spacing w:before="7" w:line="256" w:lineRule="auto"/>
        <w:ind w:left="1557" w:right="249" w:hanging="360"/>
      </w:pPr>
      <w:r>
        <w:t>criar quadros económicos para atividades rentáveis para dar prioridade à proteção e recuperação urgentes do capital natural e dos serviços ecossistémicos (incluindo fixação de carbono, controlo de cheias, depuração da água, polinização, controlo de doenças).</w:t>
      </w:r>
    </w:p>
    <w:p w14:paraId="7A8189BD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1"/>
        </w:tabs>
        <w:spacing w:before="4" w:line="249" w:lineRule="auto"/>
        <w:ind w:left="1559" w:right="331" w:hanging="360"/>
      </w:pPr>
      <w:r>
        <w:t>implementar reformas para garantir que as terras agrícolas e florestais, como os oceanos, rios e pântanos, sejam geridas para o benefício a longo prazo da natureza e da humanidade, em vez de lucros a curto prazo;</w:t>
      </w:r>
    </w:p>
    <w:p w14:paraId="568E1C22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0"/>
        </w:tabs>
        <w:spacing w:before="12" w:line="256" w:lineRule="auto"/>
        <w:ind w:left="1559" w:right="251"/>
      </w:pPr>
      <w:r>
        <w:t>implementar direitos sobre a terra e modelos de planeamento urbano que evitem o desenvolvimento vitalício da terra, a perda de carbono e biodiversidade e a aniquilação de áreas selvagens intactas e promovam a densificação de áreas urbanas, utilizações polivalentes da terra e outras formas de eficiência;</w:t>
      </w:r>
    </w:p>
    <w:p w14:paraId="24DA2396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0"/>
        </w:tabs>
        <w:spacing w:line="252" w:lineRule="auto"/>
        <w:ind w:left="1559" w:right="953"/>
      </w:pPr>
      <w:r>
        <w:t>implementar rapidamente políticas, incluindo a relocalização, para recuperar níveis socialmente eficientes de produção local e reduzir as emissões;</w:t>
      </w:r>
    </w:p>
    <w:p w14:paraId="5F940629" w14:textId="77777777" w:rsidR="007B756E" w:rsidRDefault="00093D69">
      <w:pPr>
        <w:pStyle w:val="ListParagraph"/>
        <w:numPr>
          <w:ilvl w:val="2"/>
          <w:numId w:val="1"/>
        </w:numPr>
        <w:tabs>
          <w:tab w:val="left" w:pos="1560"/>
        </w:tabs>
        <w:spacing w:before="10" w:line="252" w:lineRule="auto"/>
        <w:ind w:left="1560" w:right="175"/>
      </w:pPr>
      <w:r>
        <w:t>na governação, investir numa liderança que dê prioridade aos valores do planeta e do interesse público e analisar e modificar todos os procedimentos, práticas e políticas de rotina que impeçam ações ousadas e transformadoras.</w:t>
      </w:r>
    </w:p>
    <w:sectPr w:rsidR="007B756E" w:rsidSect="008C6B88">
      <w:pgSz w:w="11910" w:h="16840"/>
      <w:pgMar w:top="284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B6013"/>
    <w:multiLevelType w:val="hybridMultilevel"/>
    <w:tmpl w:val="19B8F046"/>
    <w:lvl w:ilvl="0" w:tplc="7558225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0DC4486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1C44BE5C">
      <w:numFmt w:val="bullet"/>
      <w:lvlText w:val="o"/>
      <w:lvlJc w:val="left"/>
      <w:pPr>
        <w:ind w:left="15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6D3861F4"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418E5D98">
      <w:numFmt w:val="bullet"/>
      <w:lvlText w:val="•"/>
      <w:lvlJc w:val="left"/>
      <w:pPr>
        <w:ind w:left="3836" w:hanging="361"/>
      </w:pPr>
      <w:rPr>
        <w:rFonts w:hint="default"/>
      </w:rPr>
    </w:lvl>
    <w:lvl w:ilvl="5" w:tplc="1F240000">
      <w:numFmt w:val="bullet"/>
      <w:lvlText w:val="•"/>
      <w:lvlJc w:val="left"/>
      <w:pPr>
        <w:ind w:left="4974" w:hanging="361"/>
      </w:pPr>
      <w:rPr>
        <w:rFonts w:hint="default"/>
      </w:rPr>
    </w:lvl>
    <w:lvl w:ilvl="6" w:tplc="7A1633F8">
      <w:numFmt w:val="bullet"/>
      <w:lvlText w:val="•"/>
      <w:lvlJc w:val="left"/>
      <w:pPr>
        <w:ind w:left="6113" w:hanging="361"/>
      </w:pPr>
      <w:rPr>
        <w:rFonts w:hint="default"/>
      </w:rPr>
    </w:lvl>
    <w:lvl w:ilvl="7" w:tplc="0B3E8E4C">
      <w:numFmt w:val="bullet"/>
      <w:lvlText w:val="•"/>
      <w:lvlJc w:val="left"/>
      <w:pPr>
        <w:ind w:left="7251" w:hanging="361"/>
      </w:pPr>
      <w:rPr>
        <w:rFonts w:hint="default"/>
      </w:rPr>
    </w:lvl>
    <w:lvl w:ilvl="8" w:tplc="75EEB704">
      <w:numFmt w:val="bullet"/>
      <w:lvlText w:val="•"/>
      <w:lvlJc w:val="left"/>
      <w:pPr>
        <w:ind w:left="83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E"/>
    <w:rsid w:val="00093D69"/>
    <w:rsid w:val="00114E70"/>
    <w:rsid w:val="00165D9A"/>
    <w:rsid w:val="00180400"/>
    <w:rsid w:val="00244A9B"/>
    <w:rsid w:val="00261706"/>
    <w:rsid w:val="002A12A9"/>
    <w:rsid w:val="00570FE4"/>
    <w:rsid w:val="007A58F7"/>
    <w:rsid w:val="007B756E"/>
    <w:rsid w:val="00880B41"/>
    <w:rsid w:val="008C6B88"/>
    <w:rsid w:val="00B41FDC"/>
    <w:rsid w:val="00B600B7"/>
    <w:rsid w:val="00BE7C3E"/>
    <w:rsid w:val="00D40858"/>
    <w:rsid w:val="00D4349E"/>
    <w:rsid w:val="00E4146F"/>
    <w:rsid w:val="00F37E67"/>
    <w:rsid w:val="00F459BF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E45"/>
  <w15:docId w15:val="{0D06EEF7-0EE8-452B-9586-2BDE117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8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8" w:hanging="360"/>
    </w:pPr>
  </w:style>
  <w:style w:type="paragraph" w:styleId="ListParagraph">
    <w:name w:val="List Paragraph"/>
    <w:basedOn w:val="Normal"/>
    <w:uiPriority w:val="1"/>
    <w:qFormat/>
    <w:pPr>
      <w:ind w:left="15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7C3E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Cabeçalhos</vt:lpstr>
      </vt:variant>
      <vt:variant>
        <vt:i4>8</vt:i4>
      </vt:variant>
    </vt:vector>
  </HeadingPairs>
  <TitlesOfParts>
    <vt:vector size="10" baseType="lpstr">
      <vt:lpstr/>
      <vt:lpstr/>
      <vt:lpstr>ALERTAS DOS CIENTISTAS MUNDIAIS PARA AÇÕES LOCAIS E GLOBAIS - RESUMO</vt:lpstr>
      <vt:lpstr>O artigo completo em que se baseia este resumo está no prelo da revista SAGE, Sc</vt:lpstr>
      <vt:lpstr>ENERGIA</vt:lpstr>
      <vt:lpstr>POLUENTES ATMOSFÉRICOS</vt:lpstr>
      <vt:lpstr>NATUREZA</vt:lpstr>
      <vt:lpstr>SISTEMAS ALIMENTARES</vt:lpstr>
      <vt:lpstr>ESTABILIZAÇÃO DA POPULAÇÃO</vt:lpstr>
      <vt:lpstr>REFORMAS ECONÓMICAS</vt:lpstr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Gemmell</dc:creator>
  <cp:lastModifiedBy>Kate Stansfield</cp:lastModifiedBy>
  <cp:revision>4</cp:revision>
  <dcterms:created xsi:type="dcterms:W3CDTF">2021-10-20T21:25:00Z</dcterms:created>
  <dcterms:modified xsi:type="dcterms:W3CDTF">2021-10-20T21:40:00Z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